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FBF" w:rsidRPr="00A42C71" w:rsidRDefault="00A42C71" w:rsidP="00A42C71">
      <w:pPr>
        <w:pStyle w:val="Overskrift1"/>
        <w:rPr>
          <w:lang w:val="nb-NO"/>
        </w:rPr>
      </w:pPr>
      <w:r w:rsidRPr="00A42C71">
        <w:rPr>
          <w:lang w:val="nb-NO"/>
        </w:rPr>
        <w:t>Sensorveiledning SOS2100 – vår 2019</w:t>
      </w:r>
    </w:p>
    <w:p w:rsidR="00A42C71" w:rsidRPr="00A42C71" w:rsidRDefault="00A42C71">
      <w:pPr>
        <w:rPr>
          <w:rFonts w:cs="Times New Roman"/>
          <w:sz w:val="22"/>
          <w:lang w:val="nb-NO"/>
        </w:rPr>
      </w:pPr>
      <w:r w:rsidRPr="00A42C71">
        <w:rPr>
          <w:rFonts w:cs="Times New Roman"/>
          <w:sz w:val="22"/>
          <w:lang w:val="nb-NO"/>
        </w:rPr>
        <w:t>Magne Flemmen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Eksamensoppgaven består av en hjemmeeksamen over 3 dager. Kandidaten skal velge én av to mulige oppgaver. Les mer om retningslinjer for oppgaven på emnesiden under ‘eksamen’: </w:t>
      </w:r>
      <w:hyperlink r:id="rId4" w:anchor="exam" w:history="1">
        <w:r w:rsidRPr="00A42C71">
          <w:rPr>
            <w:rStyle w:val="Hyperkobling"/>
            <w:rFonts w:ascii="Times New Roman" w:hAnsi="Times New Roman" w:cs="Times New Roman"/>
          </w:rPr>
          <w:t>https://www.uio.no/studier/emner/sv/iss/SOS2100/#exam</w:t>
        </w:r>
      </w:hyperlink>
      <w:r w:rsidRPr="00A42C71">
        <w:rPr>
          <w:rFonts w:ascii="Times New Roman" w:hAnsi="Times New Roman" w:cs="Times New Roman"/>
        </w:rPr>
        <w:t xml:space="preserve"> 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>Begge oppgavene er svært brede og en kan bruke omtrent alt fra pensum i besvarelsene. Toppbesvarelsene skiller seg ut ved å trekke bredt fra pensum og evne å gjøre selvstendige koblinger – altså utover de mest åpenbare koblingene – og høy grad av selvstendighet i drøfting og diskusjon. Begge oppgavene ber eksplisitt om pensumbaserte drøftelser. Det er viktig at studentene innfrir begge deler: De må basere seg på pensum og de skal drøfte, altså problematisere og stille ting opp mot hverandre, ikke kun gjengi.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 </w:t>
      </w:r>
    </w:p>
    <w:p w:rsidR="00A42C71" w:rsidRPr="00A42C71" w:rsidRDefault="00A42C71" w:rsidP="00A42C71">
      <w:pPr>
        <w:pStyle w:val="Overskrift2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>Oppgave 1)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De siste </w:t>
      </w:r>
      <w:proofErr w:type="spellStart"/>
      <w:r w:rsidRPr="00A42C71">
        <w:rPr>
          <w:rFonts w:ascii="Times New Roman" w:hAnsi="Times New Roman" w:cs="Times New Roman"/>
        </w:rPr>
        <w:t>årene</w:t>
      </w:r>
      <w:proofErr w:type="spellEnd"/>
      <w:r w:rsidRPr="00A42C71">
        <w:rPr>
          <w:rFonts w:ascii="Times New Roman" w:hAnsi="Times New Roman" w:cs="Times New Roman"/>
        </w:rPr>
        <w:t xml:space="preserve"> har inspir</w:t>
      </w:r>
      <w:bookmarkStart w:id="0" w:name="_GoBack"/>
      <w:bookmarkEnd w:id="0"/>
      <w:r w:rsidRPr="00A42C71">
        <w:rPr>
          <w:rFonts w:ascii="Times New Roman" w:hAnsi="Times New Roman" w:cs="Times New Roman"/>
        </w:rPr>
        <w:t xml:space="preserve">asjonen fra Pierre </w:t>
      </w:r>
      <w:proofErr w:type="spellStart"/>
      <w:r w:rsidRPr="00A42C71">
        <w:rPr>
          <w:rFonts w:ascii="Times New Roman" w:hAnsi="Times New Roman" w:cs="Times New Roman"/>
        </w:rPr>
        <w:t>Bourdieu</w:t>
      </w:r>
      <w:proofErr w:type="spellEnd"/>
      <w:r w:rsidRPr="00A42C71">
        <w:rPr>
          <w:rFonts w:ascii="Times New Roman" w:hAnsi="Times New Roman" w:cs="Times New Roman"/>
        </w:rPr>
        <w:t xml:space="preserve"> </w:t>
      </w:r>
      <w:proofErr w:type="spellStart"/>
      <w:r w:rsidRPr="00A42C71">
        <w:rPr>
          <w:rFonts w:ascii="Times New Roman" w:hAnsi="Times New Roman" w:cs="Times New Roman"/>
        </w:rPr>
        <w:t>stått</w:t>
      </w:r>
      <w:proofErr w:type="spellEnd"/>
      <w:r w:rsidRPr="00A42C71">
        <w:rPr>
          <w:rFonts w:ascii="Times New Roman" w:hAnsi="Times New Roman" w:cs="Times New Roman"/>
        </w:rPr>
        <w:t xml:space="preserve"> sentralt i klasseforskning. Redegjør for dette perspektivet, </w:t>
      </w:r>
      <w:proofErr w:type="spellStart"/>
      <w:r w:rsidRPr="00A42C71">
        <w:rPr>
          <w:rFonts w:ascii="Times New Roman" w:hAnsi="Times New Roman" w:cs="Times New Roman"/>
        </w:rPr>
        <w:t>ogsa</w:t>
      </w:r>
      <w:proofErr w:type="spellEnd"/>
      <w:r w:rsidRPr="00A42C71">
        <w:rPr>
          <w:rFonts w:ascii="Times New Roman" w:hAnsi="Times New Roman" w:cs="Times New Roman"/>
        </w:rPr>
        <w:t xml:space="preserve">̊ med tanke </w:t>
      </w:r>
      <w:proofErr w:type="spellStart"/>
      <w:r w:rsidRPr="00A42C71">
        <w:rPr>
          <w:rFonts w:ascii="Times New Roman" w:hAnsi="Times New Roman" w:cs="Times New Roman"/>
        </w:rPr>
        <w:t>pa</w:t>
      </w:r>
      <w:proofErr w:type="spellEnd"/>
      <w:r w:rsidRPr="00A42C71">
        <w:rPr>
          <w:rFonts w:ascii="Times New Roman" w:hAnsi="Times New Roman" w:cs="Times New Roman"/>
        </w:rPr>
        <w:t>̊ hvordan det skiller seg fra andre. Bruk pensumlitteraturen til en drøfting styrker og svakheter ved dette perspektivet for å studere klasseskiller i dagens samfunn.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Oppgaven kan løses mer eller mindre teoretisk eller empirisk. Studentene kan fokusere på </w:t>
      </w:r>
      <w:proofErr w:type="spellStart"/>
      <w:r w:rsidRPr="00A42C71">
        <w:rPr>
          <w:rFonts w:ascii="Times New Roman" w:hAnsi="Times New Roman" w:cs="Times New Roman"/>
        </w:rPr>
        <w:t>Bourdieus</w:t>
      </w:r>
      <w:proofErr w:type="spellEnd"/>
      <w:r w:rsidRPr="00A42C71">
        <w:rPr>
          <w:rFonts w:ascii="Times New Roman" w:hAnsi="Times New Roman" w:cs="Times New Roman"/>
        </w:rPr>
        <w:t xml:space="preserve"> begreper og den mer teoretiske diskusjonen av dem, eller fokusere på mer empiriske spørsmål om kultur eller utdanning, for eksempel. 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Minimumet her må være å kunne gi en forklaring av </w:t>
      </w:r>
      <w:proofErr w:type="spellStart"/>
      <w:r w:rsidRPr="00A42C71">
        <w:rPr>
          <w:rFonts w:ascii="Times New Roman" w:hAnsi="Times New Roman" w:cs="Times New Roman"/>
        </w:rPr>
        <w:t>Bourdieus</w:t>
      </w:r>
      <w:proofErr w:type="spellEnd"/>
      <w:r w:rsidRPr="00A42C71">
        <w:rPr>
          <w:rFonts w:ascii="Times New Roman" w:hAnsi="Times New Roman" w:cs="Times New Roman"/>
        </w:rPr>
        <w:t xml:space="preserve"> tilnærming til klasseteori som skiller ham fra nymarxisme og </w:t>
      </w:r>
      <w:proofErr w:type="spellStart"/>
      <w:r w:rsidRPr="00A42C71">
        <w:rPr>
          <w:rFonts w:ascii="Times New Roman" w:hAnsi="Times New Roman" w:cs="Times New Roman"/>
        </w:rPr>
        <w:t>nyweberianisme</w:t>
      </w:r>
      <w:proofErr w:type="spellEnd"/>
      <w:r w:rsidRPr="00A42C71">
        <w:rPr>
          <w:rFonts w:ascii="Times New Roman" w:hAnsi="Times New Roman" w:cs="Times New Roman"/>
        </w:rPr>
        <w:t xml:space="preserve">, som hos Atkinson. Atkinson mener </w:t>
      </w:r>
      <w:proofErr w:type="spellStart"/>
      <w:r w:rsidRPr="00A42C71">
        <w:rPr>
          <w:rFonts w:ascii="Times New Roman" w:hAnsi="Times New Roman" w:cs="Times New Roman"/>
        </w:rPr>
        <w:t>Bourdieu</w:t>
      </w:r>
      <w:proofErr w:type="spellEnd"/>
      <w:r w:rsidRPr="00A42C71">
        <w:rPr>
          <w:rFonts w:ascii="Times New Roman" w:hAnsi="Times New Roman" w:cs="Times New Roman"/>
        </w:rPr>
        <w:t xml:space="preserve"> skiller seg fra disse ved, at der de baserer seg på nøkkelordene utbytting eller livssjanser, er </w:t>
      </w:r>
      <w:proofErr w:type="spellStart"/>
      <w:r w:rsidRPr="00A42C71">
        <w:rPr>
          <w:rFonts w:ascii="Times New Roman" w:hAnsi="Times New Roman" w:cs="Times New Roman"/>
        </w:rPr>
        <w:t>Bourdieus</w:t>
      </w:r>
      <w:proofErr w:type="spellEnd"/>
      <w:r w:rsidRPr="00A42C71">
        <w:rPr>
          <w:rFonts w:ascii="Times New Roman" w:hAnsi="Times New Roman" w:cs="Times New Roman"/>
        </w:rPr>
        <w:t xml:space="preserve"> særegne fokus </w:t>
      </w:r>
      <w:proofErr w:type="spellStart"/>
      <w:r w:rsidRPr="00A42C71">
        <w:rPr>
          <w:rFonts w:ascii="Times New Roman" w:hAnsi="Times New Roman" w:cs="Times New Roman"/>
        </w:rPr>
        <w:t>miserkjennelse</w:t>
      </w:r>
      <w:proofErr w:type="spellEnd"/>
      <w:r w:rsidRPr="00A42C71">
        <w:rPr>
          <w:rFonts w:ascii="Times New Roman" w:hAnsi="Times New Roman" w:cs="Times New Roman"/>
        </w:rPr>
        <w:t>.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 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Atkinson gir også en kort oppskrift på kritikk av </w:t>
      </w:r>
      <w:proofErr w:type="spellStart"/>
      <w:r w:rsidRPr="00A42C71">
        <w:rPr>
          <w:rFonts w:ascii="Times New Roman" w:hAnsi="Times New Roman" w:cs="Times New Roman"/>
        </w:rPr>
        <w:t>Bourdieu</w:t>
      </w:r>
      <w:proofErr w:type="spellEnd"/>
      <w:r w:rsidRPr="00A42C71">
        <w:rPr>
          <w:rFonts w:ascii="Times New Roman" w:hAnsi="Times New Roman" w:cs="Times New Roman"/>
        </w:rPr>
        <w:t>, som fremstilles som det er angrep fra «den gamle garden». Å kjenne til dette er absolutt minimum her.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 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Utover det er det en rekke artikler som er kritiske til </w:t>
      </w:r>
      <w:proofErr w:type="spellStart"/>
      <w:r w:rsidRPr="00A42C71">
        <w:rPr>
          <w:rFonts w:ascii="Times New Roman" w:hAnsi="Times New Roman" w:cs="Times New Roman"/>
        </w:rPr>
        <w:t>Bourdieu</w:t>
      </w:r>
      <w:proofErr w:type="spellEnd"/>
      <w:r w:rsidRPr="00A42C71">
        <w:rPr>
          <w:rFonts w:ascii="Times New Roman" w:hAnsi="Times New Roman" w:cs="Times New Roman"/>
        </w:rPr>
        <w:t xml:space="preserve">, på ulike måter. De leser </w:t>
      </w:r>
      <w:proofErr w:type="spellStart"/>
      <w:r w:rsidRPr="00A42C71">
        <w:rPr>
          <w:rFonts w:ascii="Times New Roman" w:hAnsi="Times New Roman" w:cs="Times New Roman"/>
        </w:rPr>
        <w:t>Desan</w:t>
      </w:r>
      <w:proofErr w:type="spellEnd"/>
      <w:r w:rsidRPr="00A42C71">
        <w:rPr>
          <w:rFonts w:ascii="Times New Roman" w:hAnsi="Times New Roman" w:cs="Times New Roman"/>
        </w:rPr>
        <w:t xml:space="preserve">, men kritiserer ideen om at </w:t>
      </w:r>
      <w:proofErr w:type="spellStart"/>
      <w:r w:rsidRPr="00A42C71">
        <w:rPr>
          <w:rFonts w:ascii="Times New Roman" w:hAnsi="Times New Roman" w:cs="Times New Roman"/>
        </w:rPr>
        <w:t>Bourdieus</w:t>
      </w:r>
      <w:proofErr w:type="spellEnd"/>
      <w:r w:rsidRPr="00A42C71">
        <w:rPr>
          <w:rFonts w:ascii="Times New Roman" w:hAnsi="Times New Roman" w:cs="Times New Roman"/>
        </w:rPr>
        <w:t xml:space="preserve"> kapitalbegreper er en utvidelse av Marx’ kapitalbegrep, som han mener skiller seg fundamentalt fra Marx. I en beslekta lei argumenterer Flemmen for at et </w:t>
      </w:r>
      <w:proofErr w:type="spellStart"/>
      <w:r w:rsidRPr="00A42C71">
        <w:rPr>
          <w:rFonts w:ascii="Times New Roman" w:hAnsi="Times New Roman" w:cs="Times New Roman"/>
        </w:rPr>
        <w:t>Bourdieu</w:t>
      </w:r>
      <w:proofErr w:type="spellEnd"/>
      <w:r w:rsidRPr="00A42C71">
        <w:rPr>
          <w:rFonts w:ascii="Times New Roman" w:hAnsi="Times New Roman" w:cs="Times New Roman"/>
        </w:rPr>
        <w:t>-inspirert klassebegrep ikke kan ta plassen til de mer klassiske begrepene, fordi det ikke kan fange inn/redegjøre for den typen makt- og dominansforhold.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 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Chan og </w:t>
      </w:r>
      <w:proofErr w:type="spellStart"/>
      <w:r w:rsidRPr="00A42C71">
        <w:rPr>
          <w:rFonts w:ascii="Times New Roman" w:hAnsi="Times New Roman" w:cs="Times New Roman"/>
        </w:rPr>
        <w:t>Goldthorpe</w:t>
      </w:r>
      <w:proofErr w:type="spellEnd"/>
      <w:r w:rsidRPr="00A42C71">
        <w:rPr>
          <w:rFonts w:ascii="Times New Roman" w:hAnsi="Times New Roman" w:cs="Times New Roman"/>
        </w:rPr>
        <w:t xml:space="preserve"> kritiserer </w:t>
      </w:r>
      <w:proofErr w:type="spellStart"/>
      <w:r w:rsidRPr="00A42C71">
        <w:rPr>
          <w:rFonts w:ascii="Times New Roman" w:hAnsi="Times New Roman" w:cs="Times New Roman"/>
        </w:rPr>
        <w:t>Bourdieu</w:t>
      </w:r>
      <w:proofErr w:type="spellEnd"/>
      <w:r w:rsidRPr="00A42C71">
        <w:rPr>
          <w:rFonts w:ascii="Times New Roman" w:hAnsi="Times New Roman" w:cs="Times New Roman"/>
        </w:rPr>
        <w:t xml:space="preserve"> for å blande sammen klasse og stand, og dessuten at dagens distinksjoner går mellom omnivores og </w:t>
      </w:r>
      <w:proofErr w:type="spellStart"/>
      <w:r w:rsidRPr="00A42C71">
        <w:rPr>
          <w:rFonts w:ascii="Times New Roman" w:hAnsi="Times New Roman" w:cs="Times New Roman"/>
        </w:rPr>
        <w:t>univores</w:t>
      </w:r>
      <w:proofErr w:type="spellEnd"/>
      <w:r w:rsidRPr="00A42C71">
        <w:rPr>
          <w:rFonts w:ascii="Times New Roman" w:hAnsi="Times New Roman" w:cs="Times New Roman"/>
        </w:rPr>
        <w:t xml:space="preserve"> (ikke høyt og lavt). Kingston mener kulturell kapital-begrepet er ullent og for bredt og ikke kan levere det som </w:t>
      </w:r>
      <w:proofErr w:type="spellStart"/>
      <w:r w:rsidRPr="00A42C71">
        <w:rPr>
          <w:rFonts w:ascii="Times New Roman" w:hAnsi="Times New Roman" w:cs="Times New Roman"/>
        </w:rPr>
        <w:t>Bourdieu</w:t>
      </w:r>
      <w:proofErr w:type="spellEnd"/>
      <w:r w:rsidRPr="00A42C71">
        <w:rPr>
          <w:rFonts w:ascii="Times New Roman" w:hAnsi="Times New Roman" w:cs="Times New Roman"/>
        </w:rPr>
        <w:t xml:space="preserve"> og hans </w:t>
      </w:r>
      <w:proofErr w:type="spellStart"/>
      <w:r w:rsidRPr="00A42C71">
        <w:rPr>
          <w:rFonts w:ascii="Times New Roman" w:hAnsi="Times New Roman" w:cs="Times New Roman"/>
        </w:rPr>
        <w:t>følgere</w:t>
      </w:r>
      <w:proofErr w:type="spellEnd"/>
      <w:r w:rsidRPr="00A42C71">
        <w:rPr>
          <w:rFonts w:ascii="Times New Roman" w:hAnsi="Times New Roman" w:cs="Times New Roman"/>
        </w:rPr>
        <w:t xml:space="preserve"> forventer av det.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 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Det er mye som kan tas til inntekt for </w:t>
      </w:r>
      <w:proofErr w:type="spellStart"/>
      <w:r w:rsidRPr="00A42C71">
        <w:rPr>
          <w:rFonts w:ascii="Times New Roman" w:hAnsi="Times New Roman" w:cs="Times New Roman"/>
        </w:rPr>
        <w:t>Bourdieu</w:t>
      </w:r>
      <w:proofErr w:type="spellEnd"/>
      <w:r w:rsidRPr="00A42C71">
        <w:rPr>
          <w:rFonts w:ascii="Times New Roman" w:hAnsi="Times New Roman" w:cs="Times New Roman"/>
        </w:rPr>
        <w:t xml:space="preserve"> på pensum. En diskusjon basert på empiri burde kunne peke på at en del av modellene/begrepene til B lar seg bruke andre steder og fremdeles, og de flinke vil kanskje peke på at dette gjør at spørsmål om ulikhet kan belyses bedre -- ved at en “ser” noe en ikke ellers ser. Foruten Atkinson selv gir Faber m.fl. Og Jarness </w:t>
      </w:r>
      <w:proofErr w:type="spellStart"/>
      <w:r w:rsidRPr="00A42C71">
        <w:rPr>
          <w:rFonts w:ascii="Times New Roman" w:hAnsi="Times New Roman" w:cs="Times New Roman"/>
        </w:rPr>
        <w:t>støttre</w:t>
      </w:r>
      <w:proofErr w:type="spellEnd"/>
      <w:r w:rsidRPr="00A42C71">
        <w:rPr>
          <w:rFonts w:ascii="Times New Roman" w:hAnsi="Times New Roman" w:cs="Times New Roman"/>
        </w:rPr>
        <w:t xml:space="preserve"> til </w:t>
      </w:r>
      <w:proofErr w:type="spellStart"/>
      <w:r w:rsidRPr="00A42C71">
        <w:rPr>
          <w:rFonts w:ascii="Times New Roman" w:hAnsi="Times New Roman" w:cs="Times New Roman"/>
        </w:rPr>
        <w:t>Bourdieu</w:t>
      </w:r>
      <w:proofErr w:type="spellEnd"/>
      <w:r w:rsidRPr="00A42C71">
        <w:rPr>
          <w:rFonts w:ascii="Times New Roman" w:hAnsi="Times New Roman" w:cs="Times New Roman"/>
        </w:rPr>
        <w:t xml:space="preserve"> beskrivelse av kultur, mens </w:t>
      </w:r>
      <w:proofErr w:type="spellStart"/>
      <w:r w:rsidRPr="00A42C71">
        <w:rPr>
          <w:rFonts w:ascii="Times New Roman" w:hAnsi="Times New Roman" w:cs="Times New Roman"/>
        </w:rPr>
        <w:t>Goldthorpe</w:t>
      </w:r>
      <w:proofErr w:type="spellEnd"/>
      <w:r w:rsidRPr="00A42C71">
        <w:rPr>
          <w:rFonts w:ascii="Times New Roman" w:hAnsi="Times New Roman" w:cs="Times New Roman"/>
        </w:rPr>
        <w:t xml:space="preserve"> og Chan er klar motpol. På politikk er </w:t>
      </w:r>
      <w:proofErr w:type="spellStart"/>
      <w:r w:rsidRPr="00A42C71">
        <w:rPr>
          <w:rFonts w:ascii="Times New Roman" w:hAnsi="Times New Roman" w:cs="Times New Roman"/>
        </w:rPr>
        <w:t>Harrits</w:t>
      </w:r>
      <w:proofErr w:type="spellEnd"/>
      <w:r w:rsidRPr="00A42C71">
        <w:rPr>
          <w:rFonts w:ascii="Times New Roman" w:hAnsi="Times New Roman" w:cs="Times New Roman"/>
        </w:rPr>
        <w:t xml:space="preserve"> og Flemmen bidrag som vil vise relevansen av B; van der Wahl et al gjør delvis bruk av kulturell kapital. På utdanning er det Andersen og Hansen, Atkinson, </w:t>
      </w:r>
      <w:proofErr w:type="spellStart"/>
      <w:r w:rsidRPr="00A42C71">
        <w:rPr>
          <w:rFonts w:ascii="Times New Roman" w:hAnsi="Times New Roman" w:cs="Times New Roman"/>
        </w:rPr>
        <w:t>Reay</w:t>
      </w:r>
      <w:proofErr w:type="spellEnd"/>
      <w:r w:rsidRPr="00A42C71">
        <w:rPr>
          <w:rFonts w:ascii="Times New Roman" w:hAnsi="Times New Roman" w:cs="Times New Roman"/>
        </w:rPr>
        <w:t xml:space="preserve"> mot Kingston og dels </w:t>
      </w:r>
      <w:proofErr w:type="spellStart"/>
      <w:r w:rsidRPr="00A42C71">
        <w:rPr>
          <w:rFonts w:ascii="Times New Roman" w:hAnsi="Times New Roman" w:cs="Times New Roman"/>
        </w:rPr>
        <w:t>Goldthorpe</w:t>
      </w:r>
      <w:proofErr w:type="spellEnd"/>
      <w:r w:rsidRPr="00A42C71">
        <w:rPr>
          <w:rFonts w:ascii="Times New Roman" w:hAnsi="Times New Roman" w:cs="Times New Roman"/>
        </w:rPr>
        <w:t xml:space="preserve">. På </w:t>
      </w:r>
      <w:proofErr w:type="spellStart"/>
      <w:r w:rsidRPr="00A42C71">
        <w:rPr>
          <w:rFonts w:ascii="Times New Roman" w:hAnsi="Times New Roman" w:cs="Times New Roman"/>
        </w:rPr>
        <w:t>mobiliter</w:t>
      </w:r>
      <w:proofErr w:type="spellEnd"/>
      <w:r w:rsidRPr="00A42C71">
        <w:rPr>
          <w:rFonts w:ascii="Times New Roman" w:hAnsi="Times New Roman" w:cs="Times New Roman"/>
        </w:rPr>
        <w:t xml:space="preserve"> er det </w:t>
      </w:r>
      <w:proofErr w:type="spellStart"/>
      <w:r w:rsidRPr="00A42C71">
        <w:rPr>
          <w:rFonts w:ascii="Times New Roman" w:hAnsi="Times New Roman" w:cs="Times New Roman"/>
        </w:rPr>
        <w:t>Devine</w:t>
      </w:r>
      <w:proofErr w:type="spellEnd"/>
      <w:r w:rsidRPr="00A42C71">
        <w:rPr>
          <w:rFonts w:ascii="Times New Roman" w:hAnsi="Times New Roman" w:cs="Times New Roman"/>
        </w:rPr>
        <w:t xml:space="preserve"> og </w:t>
      </w:r>
      <w:proofErr w:type="spellStart"/>
      <w:r w:rsidRPr="00A42C71">
        <w:rPr>
          <w:rFonts w:ascii="Times New Roman" w:hAnsi="Times New Roman" w:cs="Times New Roman"/>
        </w:rPr>
        <w:t>Friedman</w:t>
      </w:r>
      <w:proofErr w:type="spellEnd"/>
      <w:r w:rsidRPr="00A42C71">
        <w:rPr>
          <w:rFonts w:ascii="Times New Roman" w:hAnsi="Times New Roman" w:cs="Times New Roman"/>
        </w:rPr>
        <w:t xml:space="preserve">, og i noen grad Orupabo til støtte for det. Dette er ikke full liste. 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De beste studentene vil kunne sondere mellom denne typen argumenter og forhåpentligvis kunne gi en </w:t>
      </w:r>
      <w:proofErr w:type="gramStart"/>
      <w:r w:rsidRPr="00A42C71">
        <w:rPr>
          <w:rFonts w:ascii="Times New Roman" w:hAnsi="Times New Roman" w:cs="Times New Roman"/>
        </w:rPr>
        <w:t>kvalifisert  gjennomgang</w:t>
      </w:r>
      <w:proofErr w:type="gramEnd"/>
      <w:r w:rsidRPr="00A42C71">
        <w:rPr>
          <w:rFonts w:ascii="Times New Roman" w:hAnsi="Times New Roman" w:cs="Times New Roman"/>
        </w:rPr>
        <w:t xml:space="preserve"> av hva som er bra og mindre bra med et </w:t>
      </w:r>
      <w:proofErr w:type="spellStart"/>
      <w:r w:rsidRPr="00A42C71">
        <w:rPr>
          <w:rFonts w:ascii="Times New Roman" w:hAnsi="Times New Roman" w:cs="Times New Roman"/>
        </w:rPr>
        <w:t>bourdieusk</w:t>
      </w:r>
      <w:proofErr w:type="spellEnd"/>
      <w:r w:rsidRPr="00A42C71">
        <w:rPr>
          <w:rFonts w:ascii="Times New Roman" w:hAnsi="Times New Roman" w:cs="Times New Roman"/>
        </w:rPr>
        <w:t xml:space="preserve"> perspektiv på klasse.</w:t>
      </w:r>
    </w:p>
    <w:p w:rsidR="00A42C71" w:rsidRPr="00A42C71" w:rsidRDefault="00A42C71" w:rsidP="00A42C71">
      <w:pPr>
        <w:pStyle w:val="Overskrift2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lastRenderedPageBreak/>
        <w:t>Oppgave 2)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Et sentralt funn i ulikhetssosiologi er at det er en sammenheng mellom foreldres og barns posisjon, slik at barn ofte havner i en sosial posisjon som ligner foreldrenes. Bruk pensum til å redegjøre for dette fenomenet og drøfte mulige </w:t>
      </w:r>
      <w:proofErr w:type="spellStart"/>
      <w:r w:rsidRPr="00A42C71">
        <w:rPr>
          <w:rFonts w:ascii="Times New Roman" w:hAnsi="Times New Roman" w:cs="Times New Roman"/>
        </w:rPr>
        <w:t>årsaker</w:t>
      </w:r>
      <w:proofErr w:type="spellEnd"/>
      <w:r w:rsidRPr="00A42C71">
        <w:rPr>
          <w:rFonts w:ascii="Times New Roman" w:hAnsi="Times New Roman" w:cs="Times New Roman"/>
        </w:rPr>
        <w:t xml:space="preserve"> til at det er slik.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 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Det finnes noe empirisk materiale til å beskrive dette for Norges tilfelle hos Ringdal, Andersen og Hansen og kapitlene om eliter og overklasser, som fokuserer mye på elitereproduksjon. 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Et minimum her er å kunne trekke inn sosial mobilitet og betydningen av utdanning for det. Et sentralt poeng i diskusjonene av mobilitet er at fordelingen av økonomiske, kulturelle og sosiale ressurser gir veldig ulike muligheter for mobilitet eller klassereproduksjon. Studentene har lest </w:t>
      </w:r>
      <w:proofErr w:type="spellStart"/>
      <w:r w:rsidRPr="00A42C71">
        <w:rPr>
          <w:rFonts w:ascii="Times New Roman" w:hAnsi="Times New Roman" w:cs="Times New Roman"/>
        </w:rPr>
        <w:t>Goldhtorpes</w:t>
      </w:r>
      <w:proofErr w:type="spellEnd"/>
      <w:r w:rsidRPr="00A42C71">
        <w:rPr>
          <w:rFonts w:ascii="Times New Roman" w:hAnsi="Times New Roman" w:cs="Times New Roman"/>
        </w:rPr>
        <w:t xml:space="preserve"> litt vanskelige tekst om mobilitetsstrategier, hvor poenget hans er at disse må forstås som rasjonelle valg ut fra strukturelle begrensninger og muligheter. 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De har hatt en del om </w:t>
      </w:r>
      <w:proofErr w:type="spellStart"/>
      <w:r w:rsidRPr="00A42C71">
        <w:rPr>
          <w:rFonts w:ascii="Times New Roman" w:hAnsi="Times New Roman" w:cs="Times New Roman"/>
        </w:rPr>
        <w:t>Goldthorpe</w:t>
      </w:r>
      <w:proofErr w:type="spellEnd"/>
      <w:r w:rsidRPr="00A42C71">
        <w:rPr>
          <w:rFonts w:ascii="Times New Roman" w:hAnsi="Times New Roman" w:cs="Times New Roman"/>
        </w:rPr>
        <w:t xml:space="preserve"> og teorien om rasjonelle valg. Dette blir kritisert av Atkinson, som mener utdanningsvalgene ikke er rasjonelle på denne måten, men preget av pre-refleksiv, sosialt formet horisont som setter grenser/rammer for hva slags valg en i det hele tatt vurderer. De leser </w:t>
      </w:r>
      <w:proofErr w:type="spellStart"/>
      <w:r w:rsidRPr="00A42C71">
        <w:rPr>
          <w:rFonts w:ascii="Times New Roman" w:hAnsi="Times New Roman" w:cs="Times New Roman"/>
        </w:rPr>
        <w:t>Devine</w:t>
      </w:r>
      <w:proofErr w:type="spellEnd"/>
      <w:r w:rsidRPr="00A42C71">
        <w:rPr>
          <w:rFonts w:ascii="Times New Roman" w:hAnsi="Times New Roman" w:cs="Times New Roman"/>
        </w:rPr>
        <w:t xml:space="preserve"> som kritiserer </w:t>
      </w:r>
      <w:proofErr w:type="spellStart"/>
      <w:r w:rsidRPr="00A42C71">
        <w:rPr>
          <w:rFonts w:ascii="Times New Roman" w:hAnsi="Times New Roman" w:cs="Times New Roman"/>
        </w:rPr>
        <w:t>Goldthorpe</w:t>
      </w:r>
      <w:proofErr w:type="spellEnd"/>
      <w:r w:rsidRPr="00A42C71">
        <w:rPr>
          <w:rFonts w:ascii="Times New Roman" w:hAnsi="Times New Roman" w:cs="Times New Roman"/>
        </w:rPr>
        <w:t xml:space="preserve"> for </w:t>
      </w:r>
      <w:proofErr w:type="spellStart"/>
      <w:r w:rsidRPr="00A42C71">
        <w:rPr>
          <w:rFonts w:ascii="Times New Roman" w:hAnsi="Times New Roman" w:cs="Times New Roman"/>
        </w:rPr>
        <w:t>økonomisme</w:t>
      </w:r>
      <w:proofErr w:type="spellEnd"/>
      <w:r w:rsidRPr="00A42C71">
        <w:rPr>
          <w:rFonts w:ascii="Times New Roman" w:hAnsi="Times New Roman" w:cs="Times New Roman"/>
        </w:rPr>
        <w:t xml:space="preserve"> på dette feltet. 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proofErr w:type="spellStart"/>
      <w:r w:rsidRPr="00A42C71">
        <w:rPr>
          <w:rFonts w:ascii="Times New Roman" w:hAnsi="Times New Roman" w:cs="Times New Roman"/>
        </w:rPr>
        <w:t>Friedman</w:t>
      </w:r>
      <w:proofErr w:type="spellEnd"/>
      <w:r w:rsidRPr="00A42C71">
        <w:rPr>
          <w:rFonts w:ascii="Times New Roman" w:hAnsi="Times New Roman" w:cs="Times New Roman"/>
        </w:rPr>
        <w:t xml:space="preserve"> og </w:t>
      </w:r>
      <w:proofErr w:type="spellStart"/>
      <w:r w:rsidRPr="00A42C71">
        <w:rPr>
          <w:rFonts w:ascii="Times New Roman" w:hAnsi="Times New Roman" w:cs="Times New Roman"/>
        </w:rPr>
        <w:t>Reay</w:t>
      </w:r>
      <w:proofErr w:type="spellEnd"/>
      <w:r w:rsidRPr="00A42C71">
        <w:rPr>
          <w:rFonts w:ascii="Times New Roman" w:hAnsi="Times New Roman" w:cs="Times New Roman"/>
        </w:rPr>
        <w:t xml:space="preserve"> betoner klassekulturelle barrierer, som tyder på at det er begrensninger ved rene RAT-perspektiv her. Andersen og Hansen dokumenterer klasseforskjeller i skoleprestasjoner, særlig drevet av kulturell kapital.,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Mer generelt kan oppgava løses ved å fokusere på </w:t>
      </w:r>
      <w:proofErr w:type="spellStart"/>
      <w:r w:rsidRPr="00A42C71">
        <w:rPr>
          <w:rFonts w:ascii="Times New Roman" w:hAnsi="Times New Roman" w:cs="Times New Roman"/>
        </w:rPr>
        <w:t>Bourdieu</w:t>
      </w:r>
      <w:proofErr w:type="spellEnd"/>
      <w:r w:rsidRPr="00A42C71">
        <w:rPr>
          <w:rFonts w:ascii="Times New Roman" w:hAnsi="Times New Roman" w:cs="Times New Roman"/>
        </w:rPr>
        <w:t xml:space="preserve"> om habitus, altså at det oppstår en slags sosial treghet fordi folks ideer og ønskes preges av bakgrunnen deres. Det er flere pensumbidrag som er inne på dette, og/eller kan leses inn som illustrasjoner av det.</w:t>
      </w:r>
    </w:p>
    <w:p w:rsidR="00A42C71" w:rsidRPr="00A42C71" w:rsidRDefault="00A42C71" w:rsidP="00A42C71">
      <w:pPr>
        <w:pStyle w:val="Rentekst"/>
        <w:rPr>
          <w:rFonts w:ascii="Times New Roman" w:hAnsi="Times New Roman" w:cs="Times New Roman"/>
        </w:rPr>
      </w:pPr>
      <w:r w:rsidRPr="00A42C71">
        <w:rPr>
          <w:rFonts w:ascii="Times New Roman" w:hAnsi="Times New Roman" w:cs="Times New Roman"/>
        </w:rPr>
        <w:t xml:space="preserve"> </w:t>
      </w:r>
      <w:proofErr w:type="spellStart"/>
      <w:r w:rsidRPr="00A42C71">
        <w:rPr>
          <w:rFonts w:ascii="Times New Roman" w:hAnsi="Times New Roman" w:cs="Times New Roman"/>
        </w:rPr>
        <w:t>Lareaus</w:t>
      </w:r>
      <w:proofErr w:type="spellEnd"/>
      <w:r w:rsidRPr="00A42C71">
        <w:rPr>
          <w:rFonts w:ascii="Times New Roman" w:hAnsi="Times New Roman" w:cs="Times New Roman"/>
        </w:rPr>
        <w:t xml:space="preserve"> studie av oppdragelsesformer er relevant her. Orupabo om klasse og farge i mobilitet kan være viktig. Flere av tekstene om eliter og overklasser fokuserer på reproduksjon, men med forklaringer som i hovedsak ligner </w:t>
      </w:r>
      <w:proofErr w:type="spellStart"/>
      <w:r w:rsidRPr="00A42C71">
        <w:rPr>
          <w:rFonts w:ascii="Times New Roman" w:hAnsi="Times New Roman" w:cs="Times New Roman"/>
        </w:rPr>
        <w:t>Devine</w:t>
      </w:r>
      <w:proofErr w:type="spellEnd"/>
      <w:r w:rsidRPr="00A42C71">
        <w:rPr>
          <w:rFonts w:ascii="Times New Roman" w:hAnsi="Times New Roman" w:cs="Times New Roman"/>
        </w:rPr>
        <w:t xml:space="preserve">, siden det ofte vektlegges hvordan ressurser kan mobiliseres </w:t>
      </w:r>
      <w:proofErr w:type="spellStart"/>
      <w:r w:rsidRPr="00A42C71">
        <w:rPr>
          <w:rFonts w:ascii="Times New Roman" w:hAnsi="Times New Roman" w:cs="Times New Roman"/>
        </w:rPr>
        <w:t>intergenerasjonelt</w:t>
      </w:r>
      <w:proofErr w:type="spellEnd"/>
      <w:r w:rsidRPr="00A42C71">
        <w:rPr>
          <w:rFonts w:ascii="Times New Roman" w:hAnsi="Times New Roman" w:cs="Times New Roman"/>
        </w:rPr>
        <w:t>, men også gjennom habitusformasjon -- “man lærer noe rundt middagsbordet”:</w:t>
      </w:r>
    </w:p>
    <w:p w:rsidR="00A42C71" w:rsidRDefault="00A42C71" w:rsidP="00A42C71">
      <w:pPr>
        <w:pStyle w:val="Rentekst"/>
      </w:pPr>
    </w:p>
    <w:p w:rsidR="00A42C71" w:rsidRPr="00A42C71" w:rsidRDefault="00A42C71">
      <w:pPr>
        <w:rPr>
          <w:lang w:val="nb-NO"/>
        </w:rPr>
      </w:pPr>
    </w:p>
    <w:sectPr w:rsidR="00A42C71" w:rsidRPr="00A42C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C71"/>
    <w:rsid w:val="004C7787"/>
    <w:rsid w:val="00A42C71"/>
    <w:rsid w:val="00A55FBF"/>
    <w:rsid w:val="00EF6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32914"/>
  <w15:chartTrackingRefBased/>
  <w15:docId w15:val="{5687C29B-E318-418C-919C-9903A421A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69CC"/>
    <w:rPr>
      <w:rFonts w:ascii="Times New Roman" w:hAnsi="Times New Roman"/>
      <w:sz w:val="24"/>
      <w:lang w:val="en-GB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A42C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42C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Rentekst">
    <w:name w:val="Plain Text"/>
    <w:basedOn w:val="Normal"/>
    <w:link w:val="RentekstTegn"/>
    <w:uiPriority w:val="99"/>
    <w:semiHidden/>
    <w:unhideWhenUsed/>
    <w:rsid w:val="00A42C71"/>
    <w:pPr>
      <w:spacing w:after="0" w:line="240" w:lineRule="auto"/>
    </w:pPr>
    <w:rPr>
      <w:rFonts w:ascii="Calibri" w:hAnsi="Calibri"/>
      <w:sz w:val="22"/>
      <w:szCs w:val="21"/>
      <w:lang w:val="nb-NO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A42C71"/>
    <w:rPr>
      <w:rFonts w:ascii="Calibri" w:hAnsi="Calibri"/>
      <w:szCs w:val="21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A42C7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styleId="Hyperkobling">
    <w:name w:val="Hyperlink"/>
    <w:basedOn w:val="Standardskriftforavsnitt"/>
    <w:uiPriority w:val="99"/>
    <w:semiHidden/>
    <w:unhideWhenUsed/>
    <w:rsid w:val="00A42C71"/>
    <w:rPr>
      <w:color w:val="0000FF"/>
      <w:u w:val="single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A42C7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64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uio.no/studier/emner/sv/iss/SOS210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28D7FFA9.dotm</Template>
  <TotalTime>3</TotalTime>
  <Pages>2</Pages>
  <Words>923</Words>
  <Characters>4894</Characters>
  <Application>Microsoft Office Word</Application>
  <DocSecurity>0</DocSecurity>
  <Lines>40</Lines>
  <Paragraphs>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5806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Johanne Talleraas</dc:creator>
  <cp:keywords/>
  <dc:description/>
  <cp:lastModifiedBy>Marie Johanne Talleraas</cp:lastModifiedBy>
  <cp:revision>1</cp:revision>
  <dcterms:created xsi:type="dcterms:W3CDTF">2019-05-06T07:43:00Z</dcterms:created>
  <dcterms:modified xsi:type="dcterms:W3CDTF">2019-05-06T07:46:00Z</dcterms:modified>
</cp:coreProperties>
</file>